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D" w:rsidRDefault="004C296D" w:rsidP="004C296D">
      <w:pPr>
        <w:pStyle w:val="a3"/>
        <w:shd w:val="clear" w:color="auto" w:fill="FFFFFF"/>
      </w:pP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4C296D" w:rsidTr="00E90683">
        <w:tc>
          <w:tcPr>
            <w:tcW w:w="4475" w:type="dxa"/>
            <w:gridSpan w:val="2"/>
          </w:tcPr>
          <w:p w:rsidR="004C296D" w:rsidRDefault="004C296D" w:rsidP="00E90683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4C296D" w:rsidRDefault="004C296D" w:rsidP="00E9068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4C296D" w:rsidRDefault="004C296D" w:rsidP="00E9068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4C296D" w:rsidRDefault="004C296D" w:rsidP="00E9068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4C296D" w:rsidRDefault="004C296D" w:rsidP="00E90683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4C296D" w:rsidRPr="00A71F7C" w:rsidRDefault="004C296D" w:rsidP="00E90683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4C296D" w:rsidRDefault="00194575" w:rsidP="00E90683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4C296D" w:rsidRDefault="004C296D" w:rsidP="00E90683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4C296D" w:rsidRDefault="004C296D" w:rsidP="00E9068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4C296D" w:rsidRDefault="004C296D" w:rsidP="00E9068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4C296D" w:rsidRDefault="004C296D" w:rsidP="00E9068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4C296D" w:rsidRDefault="004C296D" w:rsidP="00E9068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4C296D" w:rsidRPr="00A71F7C" w:rsidRDefault="004C296D" w:rsidP="00E9068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4C296D" w:rsidTr="00E90683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6D" w:rsidRPr="00A71F7C" w:rsidRDefault="004C296D" w:rsidP="00E90683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6D" w:rsidRDefault="004C296D" w:rsidP="00E90683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96D" w:rsidRDefault="004C296D" w:rsidP="00E906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4C296D" w:rsidRPr="00A71F7C" w:rsidRDefault="004C296D" w:rsidP="00E906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Тел.(34762) 32-1-36</w:t>
            </w:r>
          </w:p>
        </w:tc>
      </w:tr>
    </w:tbl>
    <w:p w:rsidR="004C296D" w:rsidRDefault="004C296D" w:rsidP="004C296D">
      <w:r>
        <w:t xml:space="preserve">                                                                     </w:t>
      </w:r>
    </w:p>
    <w:p w:rsidR="004C296D" w:rsidRDefault="004C296D" w:rsidP="004C296D"/>
    <w:p w:rsidR="004C296D" w:rsidRPr="005D0AC3" w:rsidRDefault="004C296D" w:rsidP="004C296D">
      <w:pPr>
        <w:rPr>
          <w:b/>
          <w:sz w:val="28"/>
          <w:szCs w:val="28"/>
        </w:rPr>
      </w:pPr>
      <w:r w:rsidRPr="005D0AC3">
        <w:rPr>
          <w:b/>
        </w:rPr>
        <w:t xml:space="preserve">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ПОСТАНОВЛЕНИЕ</w:t>
      </w:r>
    </w:p>
    <w:p w:rsidR="004C296D" w:rsidRPr="005D0AC3" w:rsidRDefault="004C296D" w:rsidP="004C296D">
      <w:pPr>
        <w:rPr>
          <w:b/>
          <w:sz w:val="28"/>
          <w:szCs w:val="28"/>
        </w:rPr>
      </w:pPr>
    </w:p>
    <w:p w:rsidR="004C296D" w:rsidRPr="005D0AC3" w:rsidRDefault="004C296D" w:rsidP="004C2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02 май  2012 й.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</w:t>
      </w:r>
      <w:r w:rsidRPr="005D0A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02 мая   2012</w:t>
      </w:r>
      <w:r w:rsidRPr="005D0AC3">
        <w:rPr>
          <w:b/>
          <w:sz w:val="28"/>
          <w:szCs w:val="28"/>
        </w:rPr>
        <w:t>г.</w:t>
      </w:r>
    </w:p>
    <w:p w:rsidR="004C296D" w:rsidRDefault="004C296D" w:rsidP="004C296D">
      <w:pPr>
        <w:pStyle w:val="a3"/>
        <w:shd w:val="clear" w:color="auto" w:fill="FFFFFF"/>
      </w:pPr>
    </w:p>
    <w:p w:rsidR="004C296D" w:rsidRDefault="004C296D" w:rsidP="004C296D">
      <w:pPr>
        <w:pStyle w:val="western"/>
        <w:shd w:val="clear" w:color="auto" w:fill="FFFFFF"/>
        <w:spacing w:line="276" w:lineRule="auto"/>
        <w:textAlignment w:val="top"/>
      </w:pPr>
      <w:r>
        <w:rPr>
          <w:sz w:val="28"/>
          <w:szCs w:val="28"/>
        </w:rPr>
        <w:t> </w:t>
      </w:r>
      <w: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C296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«Об обеспечении первичных мер пожарной </w:t>
      </w:r>
      <w:bookmarkStart w:id="0" w:name="YANDEX_435"/>
      <w:bookmarkEnd w:id="0"/>
      <w:r w:rsidRPr="004C29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C296D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"YANDEX_434" </w:instrText>
      </w:r>
      <w:r w:rsidRPr="004C29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C296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b/>
          <w:sz w:val="28"/>
          <w:szCs w:val="28"/>
        </w:rPr>
        <w:t> безопасности </w:t>
      </w:r>
      <w:hyperlink r:id="rId5" w:anchor="YANDEX_436" w:history="1"/>
      <w:r w:rsidRPr="004C296D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Рсаевский сельсовет муниципального района Илишевский район Республики </w:t>
      </w:r>
      <w:bookmarkStart w:id="1" w:name="YANDEX_436"/>
      <w:bookmarkEnd w:id="1"/>
      <w:r w:rsidRPr="004C29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C296D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"YANDEX_435" </w:instrText>
      </w:r>
      <w:r w:rsidRPr="004C29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C296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b/>
          <w:sz w:val="28"/>
          <w:szCs w:val="28"/>
        </w:rPr>
        <w:t> Башкортостан </w:t>
      </w:r>
      <w:hyperlink r:id="rId6" w:anchor="YANDEX_437" w:history="1"/>
      <w:r w:rsidRPr="004C29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В соответствии со ст.14 Федерального закона №131 «Об общих принципах организации местного самоуправления в Российской Федерации», ст.19 Федерального закона №69 от 21 декабря 1994 года «О пожарной </w:t>
      </w:r>
      <w:bookmarkStart w:id="2" w:name="YANDEX_437"/>
      <w:bookmarkEnd w:id="2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"YANDEX_436"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безопасности </w:t>
      </w:r>
      <w:hyperlink r:id="rId7" w:anchor="YANDEX_438" w:history="1"/>
      <w:r w:rsidRPr="004C296D">
        <w:rPr>
          <w:rFonts w:ascii="Times New Roman" w:hAnsi="Times New Roman" w:cs="Times New Roman"/>
          <w:sz w:val="24"/>
          <w:szCs w:val="24"/>
        </w:rPr>
        <w:t xml:space="preserve">», Правил пожарной </w:t>
      </w:r>
      <w:bookmarkStart w:id="3" w:name="YANDEX_438"/>
      <w:bookmarkEnd w:id="3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"YANDEX_437"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безопасности </w:t>
      </w:r>
      <w:hyperlink r:id="rId8" w:anchor="YANDEX_439" w:history="1"/>
      <w:r w:rsidRPr="004C296D">
        <w:rPr>
          <w:rFonts w:ascii="Times New Roman" w:hAnsi="Times New Roman" w:cs="Times New Roman"/>
          <w:sz w:val="24"/>
          <w:szCs w:val="24"/>
        </w:rPr>
        <w:t xml:space="preserve">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4C29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C296D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Рсаевский сельсовет муниципального района Илишевский район Республики </w:t>
      </w:r>
      <w:bookmarkStart w:id="4" w:name="YANDEX_439"/>
      <w:bookmarkEnd w:id="4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"YANDEX_438"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Башкортостан </w:t>
      </w:r>
      <w:hyperlink r:id="rId9" w:anchor="YANDEX_440" w:history="1"/>
      <w:r w:rsidRPr="004C296D">
        <w:rPr>
          <w:rFonts w:ascii="Times New Roman" w:hAnsi="Times New Roman" w:cs="Times New Roman"/>
          <w:sz w:val="24"/>
          <w:szCs w:val="24"/>
        </w:rPr>
        <w:t xml:space="preserve"> в целях обеспечения мероприятий направленных на исключение возможности возникновения пожаров </w:t>
      </w:r>
      <w:bookmarkStart w:id="5" w:name="YANDEX_440"/>
      <w:bookmarkEnd w:id="5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"YANDEX_439"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hyperlink r:id="rId10" w:anchor="YANDEX_441" w:history="1"/>
      <w:r w:rsidRPr="004C296D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bookmarkStart w:id="6" w:name="YANDEX_441"/>
      <w:bookmarkEnd w:id="6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"YANDEX_440"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их </w:t>
      </w:r>
      <w:hyperlink r:id="rId11" w:anchor="YANDEX_442" w:history="1"/>
      <w:r w:rsidRPr="004C296D">
        <w:rPr>
          <w:rFonts w:ascii="Times New Roman" w:hAnsi="Times New Roman" w:cs="Times New Roman"/>
          <w:sz w:val="24"/>
          <w:szCs w:val="24"/>
        </w:rPr>
        <w:t xml:space="preserve"> последствий на территории сельского поселения Рсаевский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C296D">
        <w:rPr>
          <w:rFonts w:ascii="Times New Roman" w:hAnsi="Times New Roman" w:cs="Times New Roman"/>
          <w:b/>
          <w:sz w:val="24"/>
          <w:szCs w:val="24"/>
        </w:rPr>
        <w:t xml:space="preserve">остановляю: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1. Утвердить Положение «Об обеспечении первичных мер пожарной </w:t>
      </w:r>
      <w:bookmarkStart w:id="7" w:name="YANDEX_442"/>
      <w:bookmarkEnd w:id="7"/>
      <w:r w:rsidRPr="004C296D">
        <w:rPr>
          <w:rFonts w:ascii="Times New Roman" w:hAnsi="Times New Roman" w:cs="Times New Roman"/>
          <w:sz w:val="24"/>
          <w:szCs w:val="24"/>
        </w:rPr>
        <w:fldChar w:fldCharType="begin"/>
      </w:r>
      <w:r w:rsidRPr="004C296D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"YANDEX_441" </w:instrText>
      </w:r>
      <w:r w:rsidRPr="004C296D">
        <w:rPr>
          <w:rFonts w:ascii="Times New Roman" w:hAnsi="Times New Roman" w:cs="Times New Roman"/>
          <w:sz w:val="24"/>
          <w:szCs w:val="24"/>
        </w:rPr>
        <w:fldChar w:fldCharType="separate"/>
      </w:r>
      <w:r w:rsidRPr="004C296D">
        <w:rPr>
          <w:rFonts w:ascii="Times New Roman" w:hAnsi="Times New Roman" w:cs="Times New Roman"/>
          <w:sz w:val="24"/>
          <w:szCs w:val="24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4"/>
          <w:szCs w:val="24"/>
        </w:rPr>
        <w:t> безопасности </w:t>
      </w:r>
      <w:hyperlink r:id="rId12" w:anchor="YANDEX_443" w:history="1"/>
      <w:r w:rsidRPr="004C296D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Рсаевский сельсовет , согласно приложению.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2. Контроль за выполнением данного постановления оставляю за собой.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подписания.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>Рсаевский сельсовет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                             Р.З.Садиков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C296D">
        <w:rPr>
          <w:rFonts w:ascii="Times New Roman" w:hAnsi="Times New Roman" w:cs="Times New Roman"/>
          <w:sz w:val="24"/>
          <w:szCs w:val="24"/>
        </w:rPr>
        <w:t xml:space="preserve"> </w:t>
      </w:r>
      <w:r w:rsidRPr="004C296D">
        <w:rPr>
          <w:rFonts w:ascii="Times New Roman" w:hAnsi="Times New Roman" w:cs="Times New Roman"/>
          <w:sz w:val="16"/>
          <w:szCs w:val="16"/>
        </w:rPr>
        <w:t xml:space="preserve">Приложение к постановлению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  <w:r w:rsidRPr="004C296D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 сельского поселения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  <w:r w:rsidRPr="004C296D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            Рсаевский сельсовет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  <w:r w:rsidRPr="004C296D">
        <w:rPr>
          <w:rFonts w:ascii="Times New Roman" w:hAnsi="Times New Roman" w:cs="Times New Roman"/>
          <w:sz w:val="16"/>
          <w:szCs w:val="16"/>
        </w:rPr>
        <w:t xml:space="preserve">                          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C296D">
        <w:rPr>
          <w:rFonts w:ascii="Times New Roman" w:hAnsi="Times New Roman" w:cs="Times New Roman"/>
          <w:sz w:val="16"/>
          <w:szCs w:val="16"/>
        </w:rPr>
        <w:t xml:space="preserve">от 02 мая 2012 года № 11                                                                                            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  <w:r w:rsidRPr="004C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Style w:val="a5"/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границах сельского поселения Рсаевский сельсовет .</w:t>
      </w:r>
      <w:r w:rsidRPr="004C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C296D">
        <w:rPr>
          <w:rStyle w:val="a5"/>
          <w:rFonts w:ascii="Times New Roman" w:hAnsi="Times New Roman" w:cs="Times New Roman"/>
          <w:sz w:val="24"/>
          <w:szCs w:val="24"/>
        </w:rPr>
        <w:t>1. Общие положения</w:t>
      </w:r>
      <w:r w:rsidRPr="004C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1.1. 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Рсаевский сельсовет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Рсаевский сельсовет . </w:t>
      </w:r>
    </w:p>
    <w:p w:rsidR="004C296D" w:rsidRPr="004C296D" w:rsidRDefault="004C296D" w:rsidP="004C296D">
      <w:pPr>
        <w:pStyle w:val="a3"/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Style w:val="a5"/>
          <w:rFonts w:ascii="Times New Roman" w:hAnsi="Times New Roman" w:cs="Times New Roman"/>
          <w:sz w:val="22"/>
          <w:szCs w:val="22"/>
        </w:rPr>
        <w:t>2.Основные направления деятельности по вопросам обеспечения первичных мер пожарной безопасности</w:t>
      </w:r>
      <w:r w:rsidRPr="004C29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2.1. Основными направлениями деятельности по вопросам обеспечения первичными мерами пожарной безопасности является: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в) определение порядка ведения противопожарной пропаганды и обучения </w:t>
      </w:r>
      <w:bookmarkStart w:id="8" w:name="YANDEX_443"/>
      <w:bookmarkEnd w:id="8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"YANDEX_442"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3" w:anchor="YANDEX_444" w:history="1"/>
      <w:r w:rsidRPr="004C296D">
        <w:rPr>
          <w:rFonts w:ascii="Times New Roman" w:hAnsi="Times New Roman" w:cs="Times New Roman"/>
          <w:sz w:val="22"/>
          <w:szCs w:val="22"/>
        </w:rPr>
        <w:t xml:space="preserve"> и должностных лиц органов местного самоуправления сельского поселения исполнению первичных мер пожарной безопасности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г) информирование жителей о принятых решениях по проведению первичных мер пожарной безопасности на территории сельского поселения и их обеспечению;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д) содействие государственному пожарному надзору по учету пожаров и их последствий, возникших в границах поселения;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е) установление особого противопожарного режима в случае повышения пожарной опасности.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Style w:val="a5"/>
          <w:rFonts w:ascii="Times New Roman" w:hAnsi="Times New Roman" w:cs="Times New Roman"/>
          <w:sz w:val="22"/>
          <w:szCs w:val="22"/>
        </w:rPr>
        <w:t>3. Обеспечение первичных мер пожарной безопасности в границах сельского поселения.</w:t>
      </w:r>
      <w:r w:rsidRPr="004C29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3.1.Организационно-правовое обеспечение первичных мер пожарной безопасности предусматривает: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</w:t>
      </w:r>
      <w:r w:rsidRPr="004C296D">
        <w:rPr>
          <w:rFonts w:ascii="Times New Roman" w:hAnsi="Times New Roman" w:cs="Times New Roman"/>
          <w:sz w:val="22"/>
          <w:szCs w:val="22"/>
        </w:rPr>
        <w:lastRenderedPageBreak/>
        <w:t xml:space="preserve">пожарной безопасности в планы и программы развития территории сельского поселения Рсаевский сельсовет , в том числе: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- обеспечение надлежащего состояния источников противопожарного водоснабжения.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3.1.3.Создание, реорганизация и ликвидация подразделений добровольной пожарной охраны;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3.1.4.Установление порядка привлечения сил и средств, для тушения пожаров в границах сельского поселения Рсаевский сельсовет 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3.1.5.Организация пропаганды в области пожарной безопасности, содействие распространению пожарно-технических знаний;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3.1.6.Организация муниципального контроля соответствия жилых домов, находящихся в муниципальной собственности, требованиям пожарной безопасности;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3.1.7.Привлечение граждан к выполнению социально-значимых работ по тушению пожаров в составе добровольной пожарной охраны;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3.1.8.Формирование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3.1.9.Осуществление контроля за организацией и проведением мероприятий с массовым пребыванием людей.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Style w:val="a4"/>
          <w:rFonts w:ascii="Times New Roman" w:hAnsi="Times New Roman" w:cs="Times New Roman"/>
          <w:sz w:val="22"/>
          <w:szCs w:val="22"/>
        </w:rPr>
        <w:t>3.2.Финансовое обеспечение первичных мер пожарной безопасности в границах сельского поселения Рсаево .</w:t>
      </w:r>
      <w:r w:rsidRPr="004C29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Рсаевский сельсовет на эти цели, добровольных пожертвований организаций и физических лиц, иных, не запрещённых законодательством Российской Федерации источников.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3.2.2.Финансовое обеспечение первичных мер пожарной безопасности предусматривает: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3.2.3. Разработку, утверждение и исполнение местного бюджета в части расходов на пожарную безопасность;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3.2.4. Осуществление социального и материального стимулирования обеспечения пожарной безопасности, в том числе участия населения в борьбе с пожарами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3.2.5. За счёт средств бюджета сельского поселения Рсаевский сельсовет осуществляются расходы связанные с: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а) реализацией вопросов местного значения и приведение к созданию и (или) увеличению муниципального имущества;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б) созданием, реорганизацией, ликвидацией и содержанием добровольной пожарной охраны;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в) проведением противопожарной пропаганды среди населения и первичным мер пожарной безопасности;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lastRenderedPageBreak/>
        <w:t xml:space="preserve">г) информирование населения о принятых администрацией сельского поселения  решениях по обеспечению пожарной безопасности и содействием распространению пожарно-технических знаний;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д) формированием и размещением муниципальных заказов.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3.3.Материально-техническое обеспечение первичных мер пожарной безопасности предусматривает: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3.3.2. размещение муниципального заказа на выполнение работ по обеспечению пожарной безопасности.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4C296D" w:rsidRPr="004C296D" w:rsidRDefault="004C296D" w:rsidP="004C296D">
      <w:pPr>
        <w:pStyle w:val="a3"/>
        <w:shd w:val="clear" w:color="auto" w:fill="FFFFFF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Style w:val="a4"/>
          <w:rFonts w:ascii="Times New Roman" w:hAnsi="Times New Roman" w:cs="Times New Roman"/>
          <w:sz w:val="22"/>
          <w:szCs w:val="22"/>
        </w:rPr>
        <w:t>4. Меры пожарной безопасности для сельского поселения Рсаевский сельсовет</w:t>
      </w:r>
      <w:r w:rsidRPr="004C29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 Требования к противопожарному состоянию сельского поселения Рсаевский сельсовет 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4.1.1. Территория населённого пункта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4.1.4. Территория населённого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lastRenderedPageBreak/>
        <w:t xml:space="preserve"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4.1.6. На территории населённого пункта и организаций не разрешается устраивать свалки горючих отходов.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4.1.7. Рекомендуется у каждого жилого строения устанавливать ёмкость (бочку) с водой и противопожарный инвентарь 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4.1.8. На территории сельского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4.1.9. Не разрешается переводить линии связи «01» в таксофонах на платное обслуживание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4.2. В части, касающейся противопожарного водоснабжения.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Пожарные гидранты должны находиться в исправном состоянии, а в зимнее время должны быть утеплены </w:t>
      </w:r>
      <w:bookmarkStart w:id="9" w:name="YANDEX_444"/>
      <w:bookmarkEnd w:id="9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"YANDEX_443"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4" w:anchor="YANDEX_445" w:history="1"/>
      <w:r w:rsidRPr="004C296D">
        <w:rPr>
          <w:rFonts w:ascii="Times New Roman" w:hAnsi="Times New Roman" w:cs="Times New Roman"/>
          <w:sz w:val="22"/>
          <w:szCs w:val="22"/>
        </w:rPr>
        <w:t xml:space="preserve"> очищаться, от снега </w:t>
      </w:r>
      <w:bookmarkStart w:id="10" w:name="YANDEX_445"/>
      <w:bookmarkEnd w:id="10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"YANDEX_444"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5" w:anchor="YANDEX_446" w:history="1"/>
      <w:r w:rsidRPr="004C296D">
        <w:rPr>
          <w:rFonts w:ascii="Times New Roman" w:hAnsi="Times New Roman" w:cs="Times New Roman"/>
          <w:sz w:val="22"/>
          <w:szCs w:val="22"/>
        </w:rPr>
        <w:t xml:space="preserve"> льда. Стоянка автотранспорта на крышках колодцев пожарных гидрантов запрещается. Дороги </w:t>
      </w:r>
      <w:bookmarkStart w:id="11" w:name="YANDEX_446"/>
      <w:bookmarkEnd w:id="11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"YANDEX_445"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6" w:anchor="YANDEX_447" w:history="1"/>
      <w:r w:rsidRPr="004C296D">
        <w:rPr>
          <w:rFonts w:ascii="Times New Roman" w:hAnsi="Times New Roman" w:cs="Times New Roman"/>
          <w:sz w:val="22"/>
          <w:szCs w:val="22"/>
        </w:rPr>
        <w:t xml:space="preserve"> подъезды к источникам противопожарного водоснабжения должны обеспечивать проезд пожарной техники к ним в любое время года.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При отключении участков водопроводной сети </w:t>
      </w:r>
      <w:bookmarkStart w:id="12" w:name="YANDEX_447"/>
      <w:bookmarkEnd w:id="12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"YANDEX_446"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7" w:anchor="YANDEX_448" w:history="1"/>
      <w:r w:rsidRPr="004C296D">
        <w:rPr>
          <w:rFonts w:ascii="Times New Roman" w:hAnsi="Times New Roman" w:cs="Times New Roman"/>
          <w:sz w:val="22"/>
          <w:szCs w:val="22"/>
        </w:rPr>
        <w:t xml:space="preserve"> гидрантов или уменьшении давления в сети ниже требуемого необходимо извещать об этом подразделение пожарной охраны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4.2.2. 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 w:rsidRPr="004C296D">
          <w:rPr>
            <w:rFonts w:ascii="Times New Roman" w:hAnsi="Times New Roman" w:cs="Times New Roman"/>
            <w:sz w:val="22"/>
            <w:szCs w:val="22"/>
          </w:rPr>
          <w:t>200 м</w:t>
        </w:r>
      </w:smartTag>
      <w:r w:rsidRPr="004C296D">
        <w:rPr>
          <w:rFonts w:ascii="Times New Roman" w:hAnsi="Times New Roman" w:cs="Times New Roman"/>
          <w:sz w:val="22"/>
          <w:szCs w:val="22"/>
        </w:rPr>
        <w:t xml:space="preserve">) естественных или искусственных водоисточников (реки, озера, пруды </w:t>
      </w:r>
      <w:bookmarkStart w:id="13" w:name="YANDEX_448"/>
      <w:bookmarkEnd w:id="13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"YANDEX_447"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8" w:anchor="YANDEX_449" w:history="1"/>
      <w:r w:rsidRPr="004C296D">
        <w:rPr>
          <w:rFonts w:ascii="Times New Roman" w:hAnsi="Times New Roman" w:cs="Times New Roman"/>
          <w:sz w:val="22"/>
          <w:szCs w:val="22"/>
        </w:rPr>
        <w:t xml:space="preserve"> т. п.) к ним могут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 w:rsidRPr="004C296D">
          <w:rPr>
            <w:rFonts w:ascii="Times New Roman" w:hAnsi="Times New Roman" w:cs="Times New Roman"/>
            <w:sz w:val="22"/>
            <w:szCs w:val="22"/>
          </w:rPr>
          <w:t>12 м</w:t>
        </w:r>
      </w:smartTag>
      <w:r w:rsidRPr="004C296D">
        <w:rPr>
          <w:rFonts w:ascii="Times New Roman" w:hAnsi="Times New Roman" w:cs="Times New Roman"/>
          <w:sz w:val="22"/>
          <w:szCs w:val="22"/>
        </w:rPr>
        <w:t xml:space="preserve"> для установки пожарных автомобилей </w:t>
      </w:r>
      <w:bookmarkStart w:id="14" w:name="YANDEX_449"/>
      <w:bookmarkEnd w:id="14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"YANDEX_448"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9" w:anchor="YANDEX_450" w:history="1"/>
      <w:r w:rsidRPr="004C296D">
        <w:rPr>
          <w:rFonts w:ascii="Times New Roman" w:hAnsi="Times New Roman" w:cs="Times New Roman"/>
          <w:sz w:val="22"/>
          <w:szCs w:val="22"/>
        </w:rPr>
        <w:t xml:space="preserve"> забора воды в любое время года.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Поддержание в постоянной готовности искусственных водоемов, подъездов к водоисточникам </w:t>
      </w:r>
      <w:bookmarkStart w:id="15" w:name="YANDEX_450"/>
      <w:bookmarkEnd w:id="15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"YANDEX_449"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0" w:anchor="YANDEX_451" w:history="1"/>
      <w:r w:rsidRPr="004C296D">
        <w:rPr>
          <w:rFonts w:ascii="Times New Roman" w:hAnsi="Times New Roman" w:cs="Times New Roman"/>
          <w:sz w:val="22"/>
          <w:szCs w:val="22"/>
        </w:rPr>
        <w:t xml:space="preserve"> водозаборных устройств возлагается на соответствующие организации.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4.2.4.На территории сельского поселения должен иметься запас воды для целей пожаротушения, а также должен быть определен порядок вызова пожарной охраны.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4.3 Обязанности </w:t>
      </w:r>
      <w:bookmarkStart w:id="16" w:name="YANDEX_451"/>
      <w:bookmarkEnd w:id="16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"YANDEX_450"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1" w:anchor="YANDEX_452" w:history="1"/>
      <w:r w:rsidRPr="004C296D">
        <w:rPr>
          <w:rFonts w:ascii="Times New Roman" w:hAnsi="Times New Roman" w:cs="Times New Roman"/>
          <w:sz w:val="22"/>
          <w:szCs w:val="22"/>
        </w:rPr>
        <w:t xml:space="preserve"> ответственность в области пожарной безопасности.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4.3.1.Граждане обязаны: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а) соблюдать правила пожарной безопасности;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б) иметь в помещениях </w:t>
      </w:r>
      <w:bookmarkStart w:id="17" w:name="YANDEX_452"/>
      <w:bookmarkEnd w:id="17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"YANDEX_451"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" w:anchor="YANDEX_453" w:history="1"/>
      <w:r w:rsidRPr="004C296D">
        <w:rPr>
          <w:rFonts w:ascii="Times New Roman" w:hAnsi="Times New Roman" w:cs="Times New Roman"/>
          <w:sz w:val="22"/>
          <w:szCs w:val="22"/>
        </w:rPr>
        <w:t xml:space="preserve"> строениях, находящихся в их собственности (пользовании) первичные средства тушения пожаров </w:t>
      </w:r>
      <w:bookmarkStart w:id="18" w:name="YANDEX_453"/>
      <w:bookmarkEnd w:id="18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"YANDEX_452"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3" w:anchor="YANDEX_454" w:history="1"/>
      <w:r w:rsidRPr="004C296D">
        <w:rPr>
          <w:rFonts w:ascii="Times New Roman" w:hAnsi="Times New Roman" w:cs="Times New Roman"/>
          <w:sz w:val="22"/>
          <w:szCs w:val="22"/>
        </w:rPr>
        <w:t xml:space="preserve"> противопожарный инвентарь в соответствии с перечнем, утверждённым администрацией сельского поселения Рсаевский сельсовет 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в) при обнаружении пожаров немедленно уведомлять о них пожарную охрану;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г) до прибытия пожарной охраны принимать посильные меры по спасению людей, имущества </w:t>
      </w:r>
      <w:bookmarkStart w:id="19" w:name="YANDEX_454"/>
      <w:bookmarkEnd w:id="19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"YANDEX_453"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4" w:anchor="YANDEX_455" w:history="1"/>
      <w:r w:rsidRPr="004C296D">
        <w:rPr>
          <w:rFonts w:ascii="Times New Roman" w:hAnsi="Times New Roman" w:cs="Times New Roman"/>
          <w:sz w:val="22"/>
          <w:szCs w:val="22"/>
        </w:rPr>
        <w:t xml:space="preserve"> тушению пожаров;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lastRenderedPageBreak/>
        <w:t xml:space="preserve">д) оказывать содействие пожарной охране при тушении пожаров;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е) выполнять предписания </w:t>
      </w:r>
      <w:bookmarkStart w:id="20" w:name="YANDEX_455"/>
      <w:bookmarkEnd w:id="20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"YANDEX_454"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" w:anchor="YANDEX_456" w:history="1"/>
      <w:r w:rsidRPr="004C296D">
        <w:rPr>
          <w:rFonts w:ascii="Times New Roman" w:hAnsi="Times New Roman" w:cs="Times New Roman"/>
          <w:sz w:val="22"/>
          <w:szCs w:val="22"/>
        </w:rPr>
        <w:t xml:space="preserve"> иные законные требования должностных лиц государственного пожарного надзора;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</w:t>
      </w:r>
      <w:bookmarkStart w:id="21" w:name="YANDEX_456"/>
      <w:bookmarkEnd w:id="21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"YANDEX_455"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" w:anchor="YANDEX_457" w:history="1"/>
      <w:r w:rsidRPr="004C296D">
        <w:rPr>
          <w:rFonts w:ascii="Times New Roman" w:hAnsi="Times New Roman" w:cs="Times New Roman"/>
          <w:sz w:val="22"/>
          <w:szCs w:val="22"/>
        </w:rPr>
        <w:t xml:space="preserve"> проверки принадлежащих им производственных, хозяйственных, жилых </w:t>
      </w:r>
      <w:bookmarkStart w:id="22" w:name="YANDEX_457"/>
      <w:bookmarkEnd w:id="22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"YANDEX_456"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7" w:anchor="YANDEX_458" w:history="1"/>
      <w:r w:rsidRPr="004C296D">
        <w:rPr>
          <w:rFonts w:ascii="Times New Roman" w:hAnsi="Times New Roman" w:cs="Times New Roman"/>
          <w:sz w:val="22"/>
          <w:szCs w:val="22"/>
        </w:rPr>
        <w:t xml:space="preserve"> иных помещений </w:t>
      </w:r>
      <w:bookmarkStart w:id="23" w:name="YANDEX_458"/>
      <w:bookmarkEnd w:id="23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"YANDEX_457"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" w:anchor="YANDEX_459" w:history="1"/>
      <w:r w:rsidRPr="004C296D">
        <w:rPr>
          <w:rFonts w:ascii="Times New Roman" w:hAnsi="Times New Roman" w:cs="Times New Roman"/>
          <w:sz w:val="22"/>
          <w:szCs w:val="22"/>
        </w:rPr>
        <w:t xml:space="preserve"> строений в целях контроля за соблюдением требований пожарной </w:t>
      </w:r>
      <w:bookmarkStart w:id="24" w:name="YANDEX_459"/>
      <w:bookmarkEnd w:id="24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"YANDEX_458"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29" w:anchor="YANDEX_460" w:history="1"/>
      <w:r w:rsidRPr="004C296D">
        <w:rPr>
          <w:rFonts w:ascii="Times New Roman" w:hAnsi="Times New Roman" w:cs="Times New Roman"/>
          <w:sz w:val="22"/>
          <w:szCs w:val="22"/>
        </w:rPr>
        <w:t xml:space="preserve"> </w:t>
      </w:r>
      <w:bookmarkStart w:id="25" w:name="YANDEX_460"/>
      <w:bookmarkEnd w:id="25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"YANDEX_459"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0" w:anchor="YANDEX_461" w:history="1"/>
      <w:r w:rsidRPr="004C296D">
        <w:rPr>
          <w:rFonts w:ascii="Times New Roman" w:hAnsi="Times New Roman" w:cs="Times New Roman"/>
          <w:sz w:val="22"/>
          <w:szCs w:val="22"/>
        </w:rPr>
        <w:t xml:space="preserve"> пресечения нарушений.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4.3.2. Ответственность за нарушение требований пожарной </w:t>
      </w:r>
      <w:bookmarkStart w:id="26" w:name="YANDEX_461"/>
      <w:bookmarkEnd w:id="26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"YANDEX_460"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31" w:anchor="YANDEX_462" w:history="1"/>
      <w:r w:rsidRPr="004C296D">
        <w:rPr>
          <w:rFonts w:ascii="Times New Roman" w:hAnsi="Times New Roman" w:cs="Times New Roman"/>
          <w:sz w:val="22"/>
          <w:szCs w:val="22"/>
        </w:rPr>
        <w:t xml:space="preserve"> несут: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а) собственники имущества;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б) руководители органов местного самоуправления;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в) лица, уполномоченные владеть, пользоваться или распоряжаться имуществом, в том числе руководители организаций;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г) лица, в установленном порядке назначенные ответственными за обеспечение пожарной </w:t>
      </w:r>
      <w:bookmarkStart w:id="27" w:name="YANDEX_462"/>
      <w:bookmarkEnd w:id="27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"YANDEX_461"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32" w:anchor="YANDEX_463" w:history="1"/>
      <w:r w:rsidRPr="004C296D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д) должностные лица в пределах </w:t>
      </w:r>
      <w:bookmarkStart w:id="28" w:name="YANDEX_463"/>
      <w:bookmarkEnd w:id="28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"YANDEX_462"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их </w:t>
      </w:r>
      <w:hyperlink r:id="rId33" w:anchor="YANDEX_464" w:history="1"/>
      <w:r w:rsidRPr="004C296D">
        <w:rPr>
          <w:rFonts w:ascii="Times New Roman" w:hAnsi="Times New Roman" w:cs="Times New Roman"/>
          <w:sz w:val="22"/>
          <w:szCs w:val="22"/>
        </w:rPr>
        <w:t xml:space="preserve"> компетенции. </w:t>
      </w:r>
    </w:p>
    <w:p w:rsidR="004C296D" w:rsidRPr="004C296D" w:rsidRDefault="004C296D" w:rsidP="004C296D">
      <w:pPr>
        <w:pStyle w:val="a3"/>
        <w:shd w:val="clear" w:color="auto" w:fill="FFFFFF"/>
        <w:textAlignment w:val="top"/>
        <w:rPr>
          <w:rFonts w:ascii="Times New Roman" w:hAnsi="Times New Roman" w:cs="Times New Roman"/>
          <w:sz w:val="22"/>
          <w:szCs w:val="22"/>
        </w:rPr>
      </w:pPr>
      <w:r w:rsidRPr="004C296D">
        <w:rPr>
          <w:rFonts w:ascii="Times New Roman" w:hAnsi="Times New Roman" w:cs="Times New Roman"/>
          <w:sz w:val="22"/>
          <w:szCs w:val="22"/>
        </w:rPr>
        <w:t xml:space="preserve">4.3.3. Ответственность за нарушение требований пожарной </w:t>
      </w:r>
      <w:bookmarkStart w:id="29" w:name="YANDEX_464"/>
      <w:bookmarkEnd w:id="29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"YANDEX_463"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34" w:anchor="YANDEX_465" w:history="1"/>
      <w:r w:rsidRPr="004C296D">
        <w:rPr>
          <w:rFonts w:ascii="Times New Roman" w:hAnsi="Times New Roman" w:cs="Times New Roman"/>
          <w:sz w:val="22"/>
          <w:szCs w:val="22"/>
        </w:rPr>
        <w:t xml:space="preserve"> для квартир, (комнат) в домах государственного, муниципального </w:t>
      </w:r>
      <w:bookmarkStart w:id="30" w:name="YANDEX_465"/>
      <w:bookmarkEnd w:id="30"/>
      <w:r w:rsidRPr="004C296D">
        <w:rPr>
          <w:rFonts w:ascii="Times New Roman" w:hAnsi="Times New Roman" w:cs="Times New Roman"/>
          <w:sz w:val="22"/>
          <w:szCs w:val="22"/>
        </w:rPr>
        <w:fldChar w:fldCharType="begin"/>
      </w:r>
      <w:r w:rsidRPr="004C296D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"YANDEX_464" </w:instrText>
      </w:r>
      <w:r w:rsidRPr="004C296D">
        <w:rPr>
          <w:rFonts w:ascii="Times New Roman" w:hAnsi="Times New Roman" w:cs="Times New Roman"/>
          <w:sz w:val="22"/>
          <w:szCs w:val="22"/>
        </w:rPr>
        <w:fldChar w:fldCharType="separate"/>
      </w:r>
      <w:r w:rsidRPr="004C296D">
        <w:rPr>
          <w:rFonts w:ascii="Times New Roman" w:hAnsi="Times New Roman" w:cs="Times New Roman"/>
          <w:sz w:val="22"/>
          <w:szCs w:val="22"/>
        </w:rPr>
        <w:fldChar w:fldCharType="end"/>
      </w:r>
      <w:r w:rsidRPr="004C296D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5" w:anchor="YANDEX_466" w:history="1"/>
      <w:r w:rsidRPr="004C296D">
        <w:rPr>
          <w:rFonts w:ascii="Times New Roman" w:hAnsi="Times New Roman" w:cs="Times New Roman"/>
          <w:sz w:val="22"/>
          <w:szCs w:val="22"/>
        </w:rPr>
        <w:t xml:space="preserve"> ведомственного жилищного фонда возлагается на ответственных квартиросъёмщиков или арендаторов. </w:t>
      </w:r>
    </w:p>
    <w:p w:rsidR="004C296D" w:rsidRPr="004C296D" w:rsidRDefault="004C296D"/>
    <w:sectPr w:rsidR="004C296D" w:rsidRPr="004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C296D"/>
    <w:rsid w:val="00194575"/>
    <w:rsid w:val="004C296D"/>
    <w:rsid w:val="00E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9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296D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styleId="a4">
    <w:name w:val="Emphasis"/>
    <w:basedOn w:val="a0"/>
    <w:qFormat/>
    <w:rsid w:val="004C296D"/>
    <w:rPr>
      <w:i/>
      <w:iCs/>
    </w:rPr>
  </w:style>
  <w:style w:type="character" w:styleId="a5">
    <w:name w:val="Strong"/>
    <w:basedOn w:val="a0"/>
    <w:qFormat/>
    <w:rsid w:val="004C296D"/>
    <w:rPr>
      <w:b/>
      <w:bCs/>
    </w:rPr>
  </w:style>
  <w:style w:type="character" w:customStyle="1" w:styleId="highlighthighlightactive">
    <w:name w:val="highlight highlight_active"/>
    <w:basedOn w:val="a0"/>
    <w:rsid w:val="004C296D"/>
  </w:style>
  <w:style w:type="paragraph" w:customStyle="1" w:styleId="western">
    <w:name w:val="western"/>
    <w:basedOn w:val="a"/>
    <w:rsid w:val="004C296D"/>
    <w:pPr>
      <w:spacing w:line="360" w:lineRule="auto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12442</Words>
  <Characters>70924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83200</CharactersWithSpaces>
  <SharedDoc>false</SharedDoc>
  <HLinks>
    <vt:vector size="372" baseType="variant">
      <vt:variant>
        <vt:i4>4522081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YANDEX_466</vt:lpwstr>
      </vt:variant>
      <vt:variant>
        <vt:i4>4653153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YANDEX_464</vt:lpwstr>
      </vt:variant>
      <vt:variant>
        <vt:i4>4587617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YANDEX_465</vt:lpwstr>
      </vt:variant>
      <vt:variant>
        <vt:i4>4194401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YANDEX_463</vt:lpwstr>
      </vt:variant>
      <vt:variant>
        <vt:i4>4653153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YANDEX_464</vt:lpwstr>
      </vt:variant>
      <vt:variant>
        <vt:i4>4259937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YANDEX_462</vt:lpwstr>
      </vt:variant>
      <vt:variant>
        <vt:i4>4194401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YANDEX_463</vt:lpwstr>
      </vt:variant>
      <vt:variant>
        <vt:i4>4325473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YANDEX_461</vt:lpwstr>
      </vt:variant>
      <vt:variant>
        <vt:i4>4259937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YANDEX_462</vt:lpwstr>
      </vt:variant>
      <vt:variant>
        <vt:i4>4391009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YANDEX_460</vt:lpwstr>
      </vt:variant>
      <vt:variant>
        <vt:i4>4325473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YANDEX_461</vt:lpwstr>
      </vt:variant>
      <vt:variant>
        <vt:i4>4849762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YANDEX_459</vt:lpwstr>
      </vt:variant>
      <vt:variant>
        <vt:i4>4391009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YANDEX_460</vt:lpwstr>
      </vt:variant>
      <vt:variant>
        <vt:i4>4915298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YANDEX_458</vt:lpwstr>
      </vt:variant>
      <vt:variant>
        <vt:i4>4849762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YANDEX_459</vt:lpwstr>
      </vt:variant>
      <vt:variant>
        <vt:i4>4456546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YANDEX_457</vt:lpwstr>
      </vt:variant>
      <vt:variant>
        <vt:i4>4915298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YANDEX_458</vt:lpwstr>
      </vt:variant>
      <vt:variant>
        <vt:i4>4522082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YANDEX_456</vt:lpwstr>
      </vt:variant>
      <vt:variant>
        <vt:i4>4456546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YANDEX_457</vt:lpwstr>
      </vt:variant>
      <vt:variant>
        <vt:i4>4587618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YANDEX_455</vt:lpwstr>
      </vt:variant>
      <vt:variant>
        <vt:i4>4522082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YANDEX_456</vt:lpwstr>
      </vt:variant>
      <vt:variant>
        <vt:i4>4653154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YANDEX_454</vt:lpwstr>
      </vt:variant>
      <vt:variant>
        <vt:i4>4587618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YANDEX_455</vt:lpwstr>
      </vt:variant>
      <vt:variant>
        <vt:i4>4194402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YANDEX_453</vt:lpwstr>
      </vt:variant>
      <vt:variant>
        <vt:i4>4653154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YANDEX_454</vt:lpwstr>
      </vt:variant>
      <vt:variant>
        <vt:i4>4259938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YANDEX_452</vt:lpwstr>
      </vt:variant>
      <vt:variant>
        <vt:i4>4194402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YANDEX_453</vt:lpwstr>
      </vt:variant>
      <vt:variant>
        <vt:i4>4325474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YANDEX_451</vt:lpwstr>
      </vt:variant>
      <vt:variant>
        <vt:i4>4259938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YANDEX_452</vt:lpwstr>
      </vt:variant>
      <vt:variant>
        <vt:i4>4391010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YANDEX_450</vt:lpwstr>
      </vt:variant>
      <vt:variant>
        <vt:i4>4325474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YANDEX_451</vt:lpwstr>
      </vt:variant>
      <vt:variant>
        <vt:i4>4849763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YANDEX_449</vt:lpwstr>
      </vt:variant>
      <vt:variant>
        <vt:i4>4391010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YANDEX_450</vt:lpwstr>
      </vt:variant>
      <vt:variant>
        <vt:i4>4915299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YANDEX_448</vt:lpwstr>
      </vt:variant>
      <vt:variant>
        <vt:i4>4849763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YANDEX_449</vt:lpwstr>
      </vt:variant>
      <vt:variant>
        <vt:i4>4456547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YANDEX_447</vt:lpwstr>
      </vt:variant>
      <vt:variant>
        <vt:i4>4915299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YANDEX_448</vt:lpwstr>
      </vt:variant>
      <vt:variant>
        <vt:i4>4522083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YANDEX_446</vt:lpwstr>
      </vt:variant>
      <vt:variant>
        <vt:i4>4456547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YANDEX_447</vt:lpwstr>
      </vt:variant>
      <vt:variant>
        <vt:i4>4587619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YANDEX_445</vt:lpwstr>
      </vt:variant>
      <vt:variant>
        <vt:i4>4522083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YANDEX_446</vt:lpwstr>
      </vt:variant>
      <vt:variant>
        <vt:i4>4653155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YANDEX_444</vt:lpwstr>
      </vt:variant>
      <vt:variant>
        <vt:i4>4587619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YANDEX_445</vt:lpwstr>
      </vt:variant>
      <vt:variant>
        <vt:i4>4194403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YANDEX_443</vt:lpwstr>
      </vt:variant>
      <vt:variant>
        <vt:i4>4653155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YANDEX_444</vt:lpwstr>
      </vt:variant>
      <vt:variant>
        <vt:i4>4259939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YANDEX_442</vt:lpwstr>
      </vt:variant>
      <vt:variant>
        <vt:i4>4194403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YANDEX_443</vt:lpwstr>
      </vt:variant>
      <vt:variant>
        <vt:i4>4325475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YANDEX_441</vt:lpwstr>
      </vt:variant>
      <vt:variant>
        <vt:i4>4259939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YANDEX_442</vt:lpwstr>
      </vt:variant>
      <vt:variant>
        <vt:i4>4391011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YANDEX_440</vt:lpwstr>
      </vt:variant>
      <vt:variant>
        <vt:i4>4325475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YANDEX_441</vt:lpwstr>
      </vt:variant>
      <vt:variant>
        <vt:i4>4849764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YANDEX_439</vt:lpwstr>
      </vt:variant>
      <vt:variant>
        <vt:i4>4391011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YANDEX_440</vt:lpwstr>
      </vt:variant>
      <vt:variant>
        <vt:i4>4915300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YANDEX_438</vt:lpwstr>
      </vt:variant>
      <vt:variant>
        <vt:i4>4849764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YANDEX_439</vt:lpwstr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YANDEX_437</vt:lpwstr>
      </vt:variant>
      <vt:variant>
        <vt:i4>4915300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YANDEX_438</vt:lpwstr>
      </vt:variant>
      <vt:variant>
        <vt:i4>4522084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YANDEX_436</vt:lpwstr>
      </vt:variant>
      <vt:variant>
        <vt:i4>4456548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YANDEX_437</vt:lpwstr>
      </vt:variant>
      <vt:variant>
        <vt:i4>4587620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YANDEX_435</vt:lpwstr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YANDEX_436</vt:lpwstr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2012-05-14T12:08:00Z</cp:lastPrinted>
  <dcterms:created xsi:type="dcterms:W3CDTF">2013-08-11T09:03:00Z</dcterms:created>
  <dcterms:modified xsi:type="dcterms:W3CDTF">2013-08-11T09:03:00Z</dcterms:modified>
</cp:coreProperties>
</file>